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0E33D" w14:textId="6EF36B79" w:rsidR="00964FB0" w:rsidRPr="00964FB0" w:rsidRDefault="00964FB0" w:rsidP="00964F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rPr>
          <w:rFonts w:asciiTheme="majorHAnsi" w:hAnsiTheme="majorHAnsi" w:cstheme="majorHAnsi"/>
          <w:b/>
          <w:bCs/>
          <w:szCs w:val="24"/>
          <w:lang w:val="en-GB"/>
        </w:rPr>
      </w:pPr>
      <w:r w:rsidRPr="00964FB0">
        <w:rPr>
          <w:rFonts w:asciiTheme="majorHAnsi" w:hAnsiTheme="majorHAnsi" w:cstheme="majorHAnsi"/>
          <w:b/>
          <w:bCs/>
          <w:szCs w:val="24"/>
          <w:lang w:val="en-GB"/>
        </w:rPr>
        <w:t xml:space="preserve">Seminar „The Wartime Quartet” </w:t>
      </w:r>
    </w:p>
    <w:p w14:paraId="70A93699" w14:textId="3F3A489F" w:rsidR="00964FB0" w:rsidRPr="00964FB0" w:rsidRDefault="00964FB0" w:rsidP="00964F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312" w:lineRule="auto"/>
        <w:rPr>
          <w:rFonts w:asciiTheme="majorHAnsi" w:hAnsiTheme="majorHAnsi" w:cstheme="majorHAnsi"/>
          <w:spacing w:val="4"/>
          <w:sz w:val="18"/>
          <w:szCs w:val="18"/>
          <w:lang w:val="en-GB"/>
        </w:rPr>
      </w:pPr>
      <w:r w:rsidRPr="00964FB0">
        <w:rPr>
          <w:rFonts w:asciiTheme="majorHAnsi" w:hAnsiTheme="majorHAnsi" w:cstheme="majorHAnsi"/>
          <w:sz w:val="18"/>
          <w:szCs w:val="18"/>
          <w:lang w:val="en-GB"/>
        </w:rPr>
        <w:t>with as many texts in German as possible</w:t>
      </w:r>
    </w:p>
    <w:p w14:paraId="26A07CA7" w14:textId="77777777" w:rsidR="00964FB0" w:rsidRPr="00964FB0" w:rsidRDefault="00964FB0" w:rsidP="00964F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64" w:lineRule="auto"/>
        <w:rPr>
          <w:rFonts w:asciiTheme="majorHAnsi" w:hAnsiTheme="majorHAnsi" w:cstheme="majorHAnsi"/>
          <w:bCs/>
          <w:iCs/>
          <w:sz w:val="22"/>
          <w:szCs w:val="22"/>
          <w:lang w:val="en-GB"/>
        </w:rPr>
      </w:pPr>
    </w:p>
    <w:p w14:paraId="75DAC9E3" w14:textId="77777777" w:rsidR="00964FB0" w:rsidRPr="00964FB0" w:rsidRDefault="00964FB0" w:rsidP="00964F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line="264" w:lineRule="auto"/>
        <w:rPr>
          <w:rFonts w:asciiTheme="majorHAnsi" w:hAnsiTheme="majorHAnsi" w:cstheme="majorHAnsi"/>
          <w:bCs/>
          <w:iCs/>
          <w:sz w:val="10"/>
          <w:szCs w:val="10"/>
          <w:lang w:val="en-GB"/>
        </w:rPr>
      </w:pPr>
    </w:p>
    <w:p w14:paraId="658004A5" w14:textId="0B6EF7A6" w:rsidR="00964FB0" w:rsidRPr="00964FB0" w:rsidRDefault="00964FB0" w:rsidP="00964F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rPr>
          <w:rFonts w:asciiTheme="majorHAnsi" w:hAnsiTheme="majorHAnsi" w:cstheme="majorHAnsi"/>
          <w:b/>
          <w:iCs/>
          <w:sz w:val="32"/>
          <w:szCs w:val="32"/>
        </w:rPr>
      </w:pPr>
      <w:r w:rsidRPr="00964FB0">
        <w:rPr>
          <w:rFonts w:asciiTheme="majorHAnsi" w:hAnsiTheme="majorHAnsi" w:cstheme="majorHAnsi"/>
          <w:b/>
          <w:iCs/>
          <w:sz w:val="32"/>
          <w:szCs w:val="32"/>
        </w:rPr>
        <w:t xml:space="preserve">SEMESTERPLAN  </w:t>
      </w:r>
    </w:p>
    <w:p w14:paraId="7B3F1F74" w14:textId="77777777" w:rsidR="00964FB0" w:rsidRPr="00964FB0" w:rsidRDefault="00964FB0" w:rsidP="00964FB0">
      <w:pPr>
        <w:pStyle w:val="FreieForm"/>
        <w:spacing w:line="360" w:lineRule="auto"/>
        <w:rPr>
          <w:rFonts w:asciiTheme="majorHAnsi" w:hAnsiTheme="majorHAnsi" w:cstheme="majorHAnsi"/>
          <w:sz w:val="10"/>
          <w:szCs w:val="10"/>
        </w:rPr>
      </w:pPr>
    </w:p>
    <w:p w14:paraId="3FA6AC76" w14:textId="796884C8"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1. Sitzung:</w:t>
      </w:r>
      <w:r w:rsidRPr="00964FB0">
        <w:rPr>
          <w:rFonts w:asciiTheme="majorHAnsi" w:hAnsiTheme="majorHAnsi" w:cstheme="majorHAnsi"/>
          <w:sz w:val="22"/>
          <w:szCs w:val="22"/>
        </w:rPr>
        <w:tab/>
        <w:t>Vorstellung des Seminarthemas</w:t>
      </w:r>
      <w:r w:rsidRPr="00964FB0">
        <w:rPr>
          <w:rFonts w:asciiTheme="majorHAnsi" w:hAnsiTheme="majorHAnsi" w:cstheme="majorHAnsi"/>
          <w:sz w:val="22"/>
          <w:szCs w:val="22"/>
        </w:rPr>
        <w:t xml:space="preserve"> (</w:t>
      </w:r>
      <w:proofErr w:type="spellStart"/>
      <w:r w:rsidRPr="00964FB0">
        <w:rPr>
          <w:rFonts w:asciiTheme="majorHAnsi" w:hAnsiTheme="majorHAnsi" w:cstheme="majorHAnsi"/>
          <w:sz w:val="22"/>
          <w:szCs w:val="22"/>
        </w:rPr>
        <w:t>Midgleys</w:t>
      </w:r>
      <w:proofErr w:type="spellEnd"/>
      <w:r w:rsidRPr="00964FB0">
        <w:rPr>
          <w:rFonts w:asciiTheme="majorHAnsi" w:hAnsiTheme="majorHAnsi" w:cstheme="majorHAnsi"/>
          <w:sz w:val="22"/>
          <w:szCs w:val="22"/>
        </w:rPr>
        <w:t xml:space="preserve"> Leserbrief im Guardian)</w:t>
      </w:r>
    </w:p>
    <w:p w14:paraId="78330680" w14:textId="6740E84E"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2. Sitzung:</w:t>
      </w:r>
      <w:r w:rsidRPr="00964FB0">
        <w:rPr>
          <w:rFonts w:asciiTheme="majorHAnsi" w:hAnsiTheme="majorHAnsi" w:cstheme="majorHAnsi"/>
          <w:sz w:val="22"/>
          <w:szCs w:val="22"/>
        </w:rPr>
        <w:tab/>
        <w:t>Midgley („</w:t>
      </w:r>
      <w:proofErr w:type="spellStart"/>
      <w:r w:rsidRPr="00964FB0">
        <w:rPr>
          <w:rFonts w:asciiTheme="majorHAnsi" w:hAnsiTheme="majorHAnsi" w:cstheme="majorHAnsi"/>
          <w:sz w:val="22"/>
          <w:szCs w:val="22"/>
        </w:rPr>
        <w:t>Philosophical</w:t>
      </w:r>
      <w:proofErr w:type="spellEnd"/>
      <w:r w:rsidRPr="00964FB0">
        <w:rPr>
          <w:rFonts w:asciiTheme="majorHAnsi" w:hAnsiTheme="majorHAnsi" w:cstheme="majorHAnsi"/>
          <w:sz w:val="22"/>
          <w:szCs w:val="22"/>
        </w:rPr>
        <w:t xml:space="preserve"> </w:t>
      </w:r>
      <w:proofErr w:type="spellStart"/>
      <w:r w:rsidRPr="00964FB0">
        <w:rPr>
          <w:rFonts w:asciiTheme="majorHAnsi" w:hAnsiTheme="majorHAnsi" w:cstheme="majorHAnsi"/>
          <w:sz w:val="22"/>
          <w:szCs w:val="22"/>
        </w:rPr>
        <w:t>Plumbing</w:t>
      </w:r>
      <w:proofErr w:type="spellEnd"/>
      <w:r w:rsidRPr="00964FB0">
        <w:rPr>
          <w:rFonts w:asciiTheme="majorHAnsi" w:hAnsiTheme="majorHAnsi" w:cstheme="majorHAnsi"/>
          <w:sz w:val="22"/>
          <w:szCs w:val="22"/>
        </w:rPr>
        <w:t>“, „</w:t>
      </w:r>
      <w:proofErr w:type="spellStart"/>
      <w:r w:rsidRPr="00964FB0">
        <w:rPr>
          <w:rFonts w:asciiTheme="majorHAnsi" w:hAnsiTheme="majorHAnsi" w:cstheme="majorHAnsi"/>
          <w:sz w:val="22"/>
          <w:szCs w:val="22"/>
        </w:rPr>
        <w:t>Evolutionary</w:t>
      </w:r>
      <w:proofErr w:type="spellEnd"/>
      <w:r w:rsidRPr="00964FB0">
        <w:rPr>
          <w:rFonts w:asciiTheme="majorHAnsi" w:hAnsiTheme="majorHAnsi" w:cstheme="majorHAnsi"/>
          <w:sz w:val="22"/>
          <w:szCs w:val="22"/>
        </w:rPr>
        <w:t xml:space="preserve"> Dramas“)</w:t>
      </w:r>
    </w:p>
    <w:p w14:paraId="4301CD83" w14:textId="6359A966"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3. Sitzung:</w:t>
      </w:r>
      <w:r w:rsidRPr="00964FB0">
        <w:rPr>
          <w:rFonts w:asciiTheme="majorHAnsi" w:hAnsiTheme="majorHAnsi" w:cstheme="majorHAnsi"/>
          <w:sz w:val="22"/>
          <w:szCs w:val="22"/>
        </w:rPr>
        <w:tab/>
        <w:t>Midgley („Der Begriff des Tierischen“)</w:t>
      </w:r>
    </w:p>
    <w:p w14:paraId="3735FFBE" w14:textId="01C4A4BF"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 xml:space="preserve">4. Sitzung: </w:t>
      </w:r>
      <w:r w:rsidRPr="00964FB0">
        <w:rPr>
          <w:rFonts w:asciiTheme="majorHAnsi" w:hAnsiTheme="majorHAnsi" w:cstheme="majorHAnsi"/>
          <w:sz w:val="22"/>
          <w:szCs w:val="22"/>
        </w:rPr>
        <w:tab/>
        <w:t>Midgley („Die Begrenztheit der Konkurrenz“)</w:t>
      </w:r>
    </w:p>
    <w:p w14:paraId="2DA0FE1B" w14:textId="0BC09832"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5. Sitzung:</w:t>
      </w:r>
      <w:r w:rsidRPr="00964FB0">
        <w:rPr>
          <w:rFonts w:asciiTheme="majorHAnsi" w:hAnsiTheme="majorHAnsi" w:cstheme="majorHAnsi"/>
          <w:sz w:val="22"/>
          <w:szCs w:val="22"/>
        </w:rPr>
        <w:tab/>
        <w:t xml:space="preserve">Foot („Natürliche Normen“, </w:t>
      </w:r>
      <w:r w:rsidRPr="00964FB0">
        <w:rPr>
          <w:rFonts w:asciiTheme="majorHAnsi" w:hAnsiTheme="majorHAnsi" w:cstheme="majorHAnsi"/>
          <w:i/>
          <w:iCs/>
          <w:sz w:val="22"/>
          <w:szCs w:val="22"/>
        </w:rPr>
        <w:t>Die Natur des Guten</w:t>
      </w:r>
      <w:r w:rsidRPr="00964FB0">
        <w:rPr>
          <w:rFonts w:asciiTheme="majorHAnsi" w:hAnsiTheme="majorHAnsi" w:cstheme="majorHAnsi"/>
          <w:sz w:val="22"/>
          <w:szCs w:val="22"/>
        </w:rPr>
        <w:t>, Kap. 2)</w:t>
      </w:r>
    </w:p>
    <w:p w14:paraId="144122BC" w14:textId="6B2F15A2"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6. Sitzung:</w:t>
      </w:r>
      <w:r w:rsidRPr="00964FB0">
        <w:rPr>
          <w:rFonts w:asciiTheme="majorHAnsi" w:hAnsiTheme="majorHAnsi" w:cstheme="majorHAnsi"/>
          <w:sz w:val="22"/>
          <w:szCs w:val="22"/>
        </w:rPr>
        <w:tab/>
        <w:t xml:space="preserve">Foot („Übergang zum Menschen“, </w:t>
      </w:r>
      <w:r w:rsidRPr="00964FB0">
        <w:rPr>
          <w:rFonts w:asciiTheme="majorHAnsi" w:hAnsiTheme="majorHAnsi" w:cstheme="majorHAnsi"/>
          <w:i/>
          <w:iCs/>
          <w:sz w:val="22"/>
          <w:szCs w:val="22"/>
        </w:rPr>
        <w:t>Die Natur des Guten</w:t>
      </w:r>
      <w:r w:rsidRPr="00964FB0">
        <w:rPr>
          <w:rFonts w:asciiTheme="majorHAnsi" w:hAnsiTheme="majorHAnsi" w:cstheme="majorHAnsi"/>
          <w:sz w:val="22"/>
          <w:szCs w:val="22"/>
        </w:rPr>
        <w:t>, Kap. 3)</w:t>
      </w:r>
    </w:p>
    <w:p w14:paraId="21DE405E" w14:textId="718009D7"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7. Sitzung:</w:t>
      </w:r>
      <w:r w:rsidRPr="00964FB0">
        <w:rPr>
          <w:rFonts w:asciiTheme="majorHAnsi" w:hAnsiTheme="majorHAnsi" w:cstheme="majorHAnsi"/>
          <w:sz w:val="22"/>
          <w:szCs w:val="22"/>
        </w:rPr>
        <w:tab/>
        <w:t xml:space="preserve">Foot („Was einen Menschen gut macht“, </w:t>
      </w:r>
      <w:r w:rsidRPr="00964FB0">
        <w:rPr>
          <w:rFonts w:asciiTheme="majorHAnsi" w:hAnsiTheme="majorHAnsi" w:cstheme="majorHAnsi"/>
          <w:i/>
          <w:iCs/>
          <w:sz w:val="22"/>
          <w:szCs w:val="22"/>
        </w:rPr>
        <w:t>Die Natur des Guten</w:t>
      </w:r>
      <w:r w:rsidRPr="00964FB0">
        <w:rPr>
          <w:rFonts w:asciiTheme="majorHAnsi" w:hAnsiTheme="majorHAnsi" w:cstheme="majorHAnsi"/>
          <w:sz w:val="22"/>
          <w:szCs w:val="22"/>
        </w:rPr>
        <w:t>, Kap. 5)</w:t>
      </w:r>
    </w:p>
    <w:p w14:paraId="66582738" w14:textId="47A0573C" w:rsidR="00964FB0" w:rsidRPr="00964FB0" w:rsidRDefault="00964FB0" w:rsidP="00964FB0">
      <w:pPr>
        <w:pStyle w:val="FreieForm"/>
        <w:spacing w:line="360" w:lineRule="auto"/>
        <w:rPr>
          <w:rFonts w:asciiTheme="majorHAnsi" w:hAnsiTheme="majorHAnsi" w:cstheme="majorHAnsi"/>
          <w:sz w:val="22"/>
          <w:szCs w:val="22"/>
          <w:lang w:val="en-GB"/>
        </w:rPr>
      </w:pPr>
      <w:r w:rsidRPr="00964FB0">
        <w:rPr>
          <w:rFonts w:asciiTheme="majorHAnsi" w:hAnsiTheme="majorHAnsi" w:cstheme="majorHAnsi"/>
          <w:sz w:val="22"/>
          <w:szCs w:val="22"/>
          <w:lang w:val="en-GB"/>
        </w:rPr>
        <w:t xml:space="preserve">8. </w:t>
      </w:r>
      <w:proofErr w:type="spellStart"/>
      <w:r w:rsidRPr="00964FB0">
        <w:rPr>
          <w:rFonts w:asciiTheme="majorHAnsi" w:hAnsiTheme="majorHAnsi" w:cstheme="majorHAnsi"/>
          <w:sz w:val="22"/>
          <w:szCs w:val="22"/>
          <w:lang w:val="en-GB"/>
        </w:rPr>
        <w:t>Sitzung</w:t>
      </w:r>
      <w:proofErr w:type="spellEnd"/>
      <w:r w:rsidRPr="00964FB0">
        <w:rPr>
          <w:rFonts w:asciiTheme="majorHAnsi" w:hAnsiTheme="majorHAnsi" w:cstheme="majorHAnsi"/>
          <w:sz w:val="22"/>
          <w:szCs w:val="22"/>
          <w:lang w:val="en-GB"/>
        </w:rPr>
        <w:t xml:space="preserve">:  </w:t>
      </w:r>
      <w:r w:rsidRPr="00964FB0">
        <w:rPr>
          <w:rFonts w:asciiTheme="majorHAnsi" w:hAnsiTheme="majorHAnsi" w:cstheme="majorHAnsi"/>
          <w:sz w:val="22"/>
          <w:szCs w:val="22"/>
          <w:lang w:val="en-GB"/>
        </w:rPr>
        <w:tab/>
        <w:t>Anscombe („</w:t>
      </w:r>
      <w:r w:rsidRPr="00964FB0">
        <w:rPr>
          <w:rFonts w:asciiTheme="majorHAnsi" w:hAnsiTheme="majorHAnsi" w:cstheme="majorHAnsi"/>
          <w:sz w:val="22"/>
          <w:szCs w:val="22"/>
          <w:lang w:val="en-GB"/>
        </w:rPr>
        <w:t>Truman Pamphlet</w:t>
      </w:r>
      <w:r w:rsidRPr="00964FB0">
        <w:rPr>
          <w:rFonts w:asciiTheme="majorHAnsi" w:hAnsiTheme="majorHAnsi" w:cstheme="majorHAnsi"/>
          <w:sz w:val="22"/>
          <w:szCs w:val="22"/>
          <w:lang w:val="en-GB"/>
        </w:rPr>
        <w:t>“, „Does Oxford Moral Philosophy Corrupt the Youth</w:t>
      </w:r>
      <w:r w:rsidRPr="00964FB0">
        <w:rPr>
          <w:rFonts w:asciiTheme="majorHAnsi" w:hAnsiTheme="majorHAnsi" w:cstheme="majorHAnsi"/>
          <w:sz w:val="22"/>
          <w:szCs w:val="22"/>
          <w:lang w:val="en-GB"/>
        </w:rPr>
        <w:t>”</w:t>
      </w:r>
      <w:r w:rsidRPr="00964FB0">
        <w:rPr>
          <w:rFonts w:asciiTheme="majorHAnsi" w:hAnsiTheme="majorHAnsi" w:cstheme="majorHAnsi"/>
          <w:sz w:val="22"/>
          <w:szCs w:val="22"/>
          <w:lang w:val="en-GB"/>
        </w:rPr>
        <w:t>)</w:t>
      </w:r>
    </w:p>
    <w:p w14:paraId="5EE57DB6" w14:textId="3F09EBAB"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9. Sitzung:</w:t>
      </w:r>
      <w:r w:rsidRPr="00964FB0">
        <w:rPr>
          <w:rFonts w:asciiTheme="majorHAnsi" w:hAnsiTheme="majorHAnsi" w:cstheme="majorHAnsi"/>
          <w:sz w:val="22"/>
          <w:szCs w:val="22"/>
        </w:rPr>
        <w:tab/>
        <w:t>Anscombe („</w:t>
      </w:r>
      <w:r w:rsidRPr="00964FB0">
        <w:rPr>
          <w:rFonts w:asciiTheme="majorHAnsi" w:hAnsiTheme="majorHAnsi" w:cstheme="majorHAnsi"/>
          <w:sz w:val="22"/>
          <w:szCs w:val="22"/>
        </w:rPr>
        <w:t xml:space="preserve">Action, Intention and Double </w:t>
      </w:r>
      <w:proofErr w:type="spellStart"/>
      <w:r w:rsidRPr="00964FB0">
        <w:rPr>
          <w:rFonts w:asciiTheme="majorHAnsi" w:hAnsiTheme="majorHAnsi" w:cstheme="majorHAnsi"/>
          <w:sz w:val="22"/>
          <w:szCs w:val="22"/>
        </w:rPr>
        <w:t>Effect</w:t>
      </w:r>
      <w:proofErr w:type="spellEnd"/>
      <w:r w:rsidRPr="00964FB0">
        <w:rPr>
          <w:rFonts w:asciiTheme="majorHAnsi" w:hAnsiTheme="majorHAnsi" w:cstheme="majorHAnsi"/>
          <w:sz w:val="22"/>
          <w:szCs w:val="22"/>
        </w:rPr>
        <w:t>“)</w:t>
      </w:r>
    </w:p>
    <w:p w14:paraId="25149E50" w14:textId="3AA150B1"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lang w:val="en-GB"/>
        </w:rPr>
        <w:t xml:space="preserve">10. </w:t>
      </w:r>
      <w:proofErr w:type="spellStart"/>
      <w:r w:rsidRPr="00964FB0">
        <w:rPr>
          <w:rFonts w:asciiTheme="majorHAnsi" w:hAnsiTheme="majorHAnsi" w:cstheme="majorHAnsi"/>
          <w:sz w:val="22"/>
          <w:szCs w:val="22"/>
          <w:lang w:val="en-GB"/>
        </w:rPr>
        <w:t>Sitzung</w:t>
      </w:r>
      <w:proofErr w:type="spellEnd"/>
      <w:r w:rsidRPr="00964FB0">
        <w:rPr>
          <w:rFonts w:asciiTheme="majorHAnsi" w:hAnsiTheme="majorHAnsi" w:cstheme="majorHAnsi"/>
          <w:sz w:val="22"/>
          <w:szCs w:val="22"/>
          <w:lang w:val="en-GB"/>
        </w:rPr>
        <w:t>:</w:t>
      </w:r>
      <w:r w:rsidRPr="00964FB0">
        <w:rPr>
          <w:rFonts w:asciiTheme="majorHAnsi" w:hAnsiTheme="majorHAnsi" w:cstheme="majorHAnsi"/>
          <w:sz w:val="22"/>
          <w:szCs w:val="22"/>
          <w:lang w:val="en-GB"/>
        </w:rPr>
        <w:tab/>
        <w:t xml:space="preserve">Anscombe </w:t>
      </w:r>
      <w:r w:rsidRPr="00964FB0">
        <w:rPr>
          <w:rFonts w:asciiTheme="majorHAnsi" w:hAnsiTheme="majorHAnsi" w:cstheme="majorHAnsi"/>
          <w:sz w:val="22"/>
          <w:szCs w:val="22"/>
        </w:rPr>
        <w:t>(„Moderne Moralphilosophie“, S. 142-158)</w:t>
      </w:r>
    </w:p>
    <w:p w14:paraId="230A2BD2" w14:textId="32B387E2"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 xml:space="preserve">11. Sitzung: </w:t>
      </w:r>
      <w:r w:rsidRPr="00964FB0">
        <w:rPr>
          <w:rFonts w:asciiTheme="majorHAnsi" w:hAnsiTheme="majorHAnsi" w:cstheme="majorHAnsi"/>
          <w:sz w:val="22"/>
          <w:szCs w:val="22"/>
        </w:rPr>
        <w:tab/>
        <w:t>Murdoch („Die Idee der Vollkommenheit“)</w:t>
      </w:r>
    </w:p>
    <w:p w14:paraId="583FD913" w14:textId="6C478285"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 xml:space="preserve">12. Sitzung:  </w:t>
      </w:r>
      <w:r w:rsidRPr="00964FB0">
        <w:rPr>
          <w:rFonts w:asciiTheme="majorHAnsi" w:hAnsiTheme="majorHAnsi" w:cstheme="majorHAnsi"/>
          <w:sz w:val="22"/>
          <w:szCs w:val="22"/>
        </w:rPr>
        <w:tab/>
        <w:t>Murdoch („Die Idee der Vollkommenheit“)</w:t>
      </w:r>
    </w:p>
    <w:p w14:paraId="24779A2D" w14:textId="766EB856"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13. Sitzung:</w:t>
      </w:r>
      <w:r w:rsidRPr="00964FB0">
        <w:rPr>
          <w:rFonts w:asciiTheme="majorHAnsi" w:hAnsiTheme="majorHAnsi" w:cstheme="majorHAnsi"/>
          <w:sz w:val="22"/>
          <w:szCs w:val="22"/>
        </w:rPr>
        <w:tab/>
        <w:t>Murdoch („Die Souveränität des Guten über andere Begriffe“)</w:t>
      </w:r>
    </w:p>
    <w:p w14:paraId="1B6275E2" w14:textId="05A103F7" w:rsidR="00964FB0" w:rsidRPr="00964FB0" w:rsidRDefault="00964FB0" w:rsidP="00964FB0">
      <w:pPr>
        <w:pStyle w:val="FreieForm"/>
        <w:spacing w:line="360" w:lineRule="auto"/>
        <w:rPr>
          <w:rFonts w:asciiTheme="majorHAnsi" w:hAnsiTheme="majorHAnsi" w:cstheme="majorHAnsi"/>
          <w:sz w:val="22"/>
          <w:szCs w:val="22"/>
          <w:lang w:val="en-GB"/>
        </w:rPr>
      </w:pPr>
      <w:r w:rsidRPr="00964FB0">
        <w:rPr>
          <w:rFonts w:asciiTheme="majorHAnsi" w:hAnsiTheme="majorHAnsi" w:cstheme="majorHAnsi"/>
          <w:sz w:val="22"/>
          <w:szCs w:val="22"/>
          <w:lang w:val="en-GB"/>
        </w:rPr>
        <w:t xml:space="preserve">14. </w:t>
      </w:r>
      <w:proofErr w:type="spellStart"/>
      <w:r w:rsidRPr="00964FB0">
        <w:rPr>
          <w:rFonts w:asciiTheme="majorHAnsi" w:hAnsiTheme="majorHAnsi" w:cstheme="majorHAnsi"/>
          <w:sz w:val="22"/>
          <w:szCs w:val="22"/>
          <w:lang w:val="en-GB"/>
        </w:rPr>
        <w:t>Sitzung</w:t>
      </w:r>
      <w:proofErr w:type="spellEnd"/>
      <w:r w:rsidRPr="00964FB0">
        <w:rPr>
          <w:rFonts w:asciiTheme="majorHAnsi" w:hAnsiTheme="majorHAnsi" w:cstheme="majorHAnsi"/>
          <w:sz w:val="22"/>
          <w:szCs w:val="22"/>
          <w:lang w:val="en-GB"/>
        </w:rPr>
        <w:t>:</w:t>
      </w:r>
      <w:r w:rsidRPr="00964FB0">
        <w:rPr>
          <w:rFonts w:asciiTheme="majorHAnsi" w:hAnsiTheme="majorHAnsi" w:cstheme="majorHAnsi"/>
          <w:sz w:val="22"/>
          <w:szCs w:val="22"/>
          <w:lang w:val="en-GB"/>
        </w:rPr>
        <w:tab/>
      </w:r>
      <w:proofErr w:type="spellStart"/>
      <w:r w:rsidRPr="00964FB0">
        <w:rPr>
          <w:rFonts w:asciiTheme="majorHAnsi" w:hAnsiTheme="majorHAnsi" w:cstheme="majorHAnsi"/>
          <w:sz w:val="22"/>
          <w:szCs w:val="22"/>
          <w:lang w:val="en-GB"/>
        </w:rPr>
        <w:t>Abschlusssitzung</w:t>
      </w:r>
      <w:proofErr w:type="spellEnd"/>
      <w:r w:rsidRPr="00964FB0">
        <w:rPr>
          <w:rFonts w:asciiTheme="majorHAnsi" w:hAnsiTheme="majorHAnsi" w:cstheme="majorHAnsi"/>
          <w:sz w:val="22"/>
          <w:szCs w:val="22"/>
          <w:lang w:val="en-GB"/>
        </w:rPr>
        <w:t xml:space="preserve"> (</w:t>
      </w:r>
      <w:r w:rsidRPr="00964FB0">
        <w:rPr>
          <w:rFonts w:asciiTheme="majorHAnsi" w:hAnsiTheme="majorHAnsi" w:cstheme="majorHAnsi"/>
          <w:sz w:val="22"/>
          <w:szCs w:val="22"/>
          <w:lang w:val="en-GB"/>
        </w:rPr>
        <w:t xml:space="preserve">Mac </w:t>
      </w:r>
      <w:proofErr w:type="spellStart"/>
      <w:r w:rsidRPr="00964FB0">
        <w:rPr>
          <w:rFonts w:asciiTheme="majorHAnsi" w:hAnsiTheme="majorHAnsi" w:cstheme="majorHAnsi"/>
          <w:sz w:val="22"/>
          <w:szCs w:val="22"/>
          <w:lang w:val="en-GB"/>
        </w:rPr>
        <w:t>Cumhaill</w:t>
      </w:r>
      <w:proofErr w:type="spellEnd"/>
      <w:r w:rsidRPr="00964FB0">
        <w:rPr>
          <w:rFonts w:asciiTheme="majorHAnsi" w:hAnsiTheme="majorHAnsi" w:cstheme="majorHAnsi"/>
          <w:sz w:val="22"/>
          <w:szCs w:val="22"/>
          <w:lang w:val="en-GB"/>
        </w:rPr>
        <w:t xml:space="preserve"> and Wiseman: </w:t>
      </w:r>
      <w:r w:rsidRPr="00964FB0">
        <w:rPr>
          <w:rFonts w:asciiTheme="majorHAnsi" w:hAnsiTheme="majorHAnsi" w:cstheme="majorHAnsi"/>
          <w:sz w:val="22"/>
          <w:szCs w:val="22"/>
          <w:lang w:val="en-GB"/>
        </w:rPr>
        <w:t>„A Female School of Philosophy?“)</w:t>
      </w:r>
    </w:p>
    <w:p w14:paraId="2B512829" w14:textId="77777777" w:rsidR="00964FB0" w:rsidRPr="00964FB0" w:rsidRDefault="00964FB0" w:rsidP="00964FB0">
      <w:pPr>
        <w:pStyle w:val="FreieForm"/>
        <w:spacing w:line="360" w:lineRule="auto"/>
        <w:rPr>
          <w:rFonts w:asciiTheme="majorHAnsi" w:hAnsiTheme="majorHAnsi" w:cstheme="majorHAnsi"/>
          <w:sz w:val="10"/>
          <w:szCs w:val="10"/>
          <w:lang w:val="en-GB"/>
        </w:rPr>
      </w:pPr>
    </w:p>
    <w:p w14:paraId="637E6431" w14:textId="0D21D900" w:rsidR="00964FB0" w:rsidRPr="00964FB0" w:rsidRDefault="00964FB0" w:rsidP="00964FB0">
      <w:pPr>
        <w:pStyle w:val="FreieForm"/>
        <w:spacing w:line="360" w:lineRule="auto"/>
        <w:rPr>
          <w:rFonts w:asciiTheme="majorHAnsi" w:hAnsiTheme="majorHAnsi" w:cstheme="majorHAnsi"/>
          <w:sz w:val="22"/>
          <w:szCs w:val="22"/>
        </w:rPr>
      </w:pPr>
      <w:r w:rsidRPr="00964FB0">
        <w:rPr>
          <w:rFonts w:asciiTheme="majorHAnsi" w:hAnsiTheme="majorHAnsi" w:cstheme="majorHAnsi"/>
          <w:sz w:val="22"/>
          <w:szCs w:val="22"/>
        </w:rPr>
        <w:tab/>
      </w:r>
    </w:p>
    <w:p w14:paraId="7B1C72E2" w14:textId="787756C3" w:rsidR="00964FB0" w:rsidRPr="00964FB0" w:rsidRDefault="00964FB0" w:rsidP="00964FB0">
      <w:pPr>
        <w:pStyle w:val="FreieForm"/>
        <w:spacing w:line="288" w:lineRule="auto"/>
        <w:rPr>
          <w:rFonts w:asciiTheme="majorHAnsi" w:hAnsiTheme="majorHAnsi" w:cstheme="majorHAnsi"/>
          <w:b/>
          <w:iCs/>
          <w:sz w:val="22"/>
          <w:szCs w:val="22"/>
        </w:rPr>
      </w:pPr>
      <w:r w:rsidRPr="00964FB0">
        <w:rPr>
          <w:rFonts w:asciiTheme="majorHAnsi" w:hAnsiTheme="majorHAnsi" w:cstheme="majorHAnsi"/>
          <w:b/>
          <w:iCs/>
          <w:sz w:val="22"/>
          <w:szCs w:val="22"/>
        </w:rPr>
        <w:t>Ablauf</w:t>
      </w:r>
    </w:p>
    <w:p w14:paraId="0D704FCD" w14:textId="77777777" w:rsidR="00964FB0" w:rsidRPr="00964FB0" w:rsidRDefault="00964FB0" w:rsidP="00964FB0">
      <w:pPr>
        <w:pStyle w:val="FreieForm"/>
        <w:spacing w:line="288" w:lineRule="auto"/>
        <w:rPr>
          <w:rFonts w:asciiTheme="majorHAnsi" w:hAnsiTheme="majorHAnsi" w:cstheme="majorHAnsi"/>
          <w:b/>
          <w:i/>
          <w:sz w:val="10"/>
          <w:szCs w:val="10"/>
        </w:rPr>
      </w:pPr>
    </w:p>
    <w:p w14:paraId="28B23414" w14:textId="78B8160E" w:rsidR="00964FB0" w:rsidRPr="00964FB0" w:rsidRDefault="00964FB0" w:rsidP="00964FB0">
      <w:pPr>
        <w:pStyle w:val="FreieForm"/>
        <w:spacing w:line="288" w:lineRule="auto"/>
        <w:rPr>
          <w:rFonts w:asciiTheme="majorHAnsi" w:hAnsiTheme="majorHAnsi" w:cstheme="majorHAnsi"/>
          <w:sz w:val="18"/>
          <w:szCs w:val="18"/>
        </w:rPr>
      </w:pPr>
      <w:r w:rsidRPr="00964FB0">
        <w:rPr>
          <w:rFonts w:asciiTheme="majorHAnsi" w:hAnsiTheme="majorHAnsi" w:cstheme="majorHAnsi"/>
          <w:sz w:val="18"/>
          <w:szCs w:val="18"/>
        </w:rPr>
        <w:t>Jede Woche sucht sich die Problemgruppe eine Passage im zu lesenden Text aus, die sie für besonders relevant und besonders schwierig hält. Sie schreibt einen Absatz, der erläutert, warum die Passage so relevant und schwierig ist und der eine interpretatorische Lösung anbietet, und schickt mir diesen Absatz per Email bis Freitagmittag vor der Sitzung. Ich leite ihn dann an die Antwortgruppe weiter, die sich dann mit der beschriebenen Schwierigkeit und der angebotenen Interpretation/Lösung auseinandersetzt. In der Sitzung präsentieren beide Gruppen ihre Gedanken und leiten anschließend eine Diskussion. Findet euch zusätzlich bitte in einer von vier Gruppen ein: Gruppe Midgley, Gruppe Foot, Gruppe Anscombe oder Gruppe Murdoch. Jede Gruppe lässt sich von ihrer Philosophin inspirieren und denkt tiefer über ein wie auch immer mit der Philosophin zusammenhängendes Thema nach – das können Delfine, Gedichte oder Kunstwerke sein, Exkurse in mittelalterliche Philosophie oder die Politik der 50er Jahre. In der letzten Sitzung zu eurer Philosophin präsentiert ihr eure Gedanken für ca. 15 Minuten und erklärt uns, warum sie wichtig und philosophisch interessant sind.</w:t>
      </w:r>
    </w:p>
    <w:p w14:paraId="5784BD7A" w14:textId="77777777" w:rsidR="00964FB0" w:rsidRPr="00964FB0" w:rsidRDefault="00964FB0" w:rsidP="00964FB0">
      <w:pPr>
        <w:pStyle w:val="FreieForm"/>
        <w:spacing w:line="288" w:lineRule="auto"/>
        <w:rPr>
          <w:rFonts w:asciiTheme="majorHAnsi" w:hAnsiTheme="majorHAnsi" w:cstheme="majorHAnsi"/>
          <w:sz w:val="18"/>
          <w:szCs w:val="18"/>
        </w:rPr>
      </w:pPr>
    </w:p>
    <w:p w14:paraId="686E0D1B" w14:textId="4F01A88F" w:rsidR="00D71A99" w:rsidRPr="00964FB0" w:rsidRDefault="00964FB0" w:rsidP="00964FB0">
      <w:pPr>
        <w:rPr>
          <w:rFonts w:asciiTheme="majorHAnsi" w:hAnsiTheme="majorHAnsi" w:cstheme="majorHAnsi"/>
          <w:b/>
          <w:bCs/>
        </w:rPr>
      </w:pPr>
      <w:r w:rsidRPr="00964FB0">
        <w:rPr>
          <w:rFonts w:asciiTheme="majorHAnsi" w:hAnsiTheme="majorHAnsi" w:cstheme="majorHAnsi"/>
          <w:b/>
          <w:bCs/>
        </w:rPr>
        <w:t>Nachträgliche Anmerkung</w:t>
      </w:r>
    </w:p>
    <w:p w14:paraId="08CB4FEF" w14:textId="764519FE" w:rsidR="00964FB0" w:rsidRPr="00964FB0" w:rsidRDefault="00964FB0" w:rsidP="00964FB0">
      <w:pPr>
        <w:rPr>
          <w:rFonts w:asciiTheme="majorHAnsi" w:hAnsiTheme="majorHAnsi" w:cstheme="majorHAnsi"/>
          <w:sz w:val="18"/>
          <w:szCs w:val="18"/>
        </w:rPr>
      </w:pPr>
      <w:r w:rsidRPr="00964FB0">
        <w:rPr>
          <w:rFonts w:asciiTheme="majorHAnsi" w:hAnsiTheme="majorHAnsi" w:cstheme="majorHAnsi"/>
          <w:sz w:val="18"/>
          <w:szCs w:val="18"/>
        </w:rPr>
        <w:t>Die roten Fäden, die sich durch das Seminar zogen, waren zum einen die gemeinsamen ablehnenden Haltungen gegen den Szientismus und eine rein sprachanalytische und prinzipiengesteuerte Herangehensweise and die Ethik, und zum anderen die entwickelten Positionen im Bereich der Tugendethik, hier besonders die Herausarbeitung der Wichtigkeit der Beschreibung von Lebensformen und der darin enthaltenen Normen.</w:t>
      </w:r>
    </w:p>
    <w:p w14:paraId="7EF5CD4F" w14:textId="7148686D" w:rsidR="00964FB0" w:rsidRDefault="00964FB0" w:rsidP="00964FB0">
      <w:pPr>
        <w:rPr>
          <w:rFonts w:asciiTheme="majorHAnsi" w:hAnsiTheme="majorHAnsi" w:cstheme="majorHAnsi"/>
          <w:sz w:val="18"/>
          <w:szCs w:val="18"/>
        </w:rPr>
      </w:pPr>
      <w:r w:rsidRPr="00964FB0">
        <w:rPr>
          <w:rFonts w:asciiTheme="majorHAnsi" w:hAnsiTheme="majorHAnsi" w:cstheme="majorHAnsi"/>
          <w:sz w:val="18"/>
          <w:szCs w:val="18"/>
        </w:rPr>
        <w:t xml:space="preserve">Als besonders gelungen haben sich die freien Präsentationen erwiesen – die Gruppen erhielten überhaupt keine Vorgaben, nur, wenn gewünscht, Beratung. Die Midgley Gruppe konzentrierte sich auf das Gaia Projekt, die Foot Gruppe auf das Trolley Problem (im Anschluss haben wir gemeinsam den Seminarplan geändert, um die Doktrin der Doppelwirkung bei Anscombe zu betrachten – ein toller Übergang von Foot zu Anscombe), die Anscombe Gruppe präsentierte </w:t>
      </w:r>
      <w:proofErr w:type="spellStart"/>
      <w:r w:rsidRPr="00964FB0">
        <w:rPr>
          <w:rFonts w:asciiTheme="majorHAnsi" w:hAnsiTheme="majorHAnsi" w:cstheme="majorHAnsi"/>
          <w:sz w:val="18"/>
          <w:szCs w:val="18"/>
        </w:rPr>
        <w:t>Anscombes</w:t>
      </w:r>
      <w:proofErr w:type="spellEnd"/>
      <w:r w:rsidRPr="00964FB0">
        <w:rPr>
          <w:rFonts w:asciiTheme="majorHAnsi" w:hAnsiTheme="majorHAnsi" w:cstheme="majorHAnsi"/>
          <w:sz w:val="18"/>
          <w:szCs w:val="18"/>
        </w:rPr>
        <w:t xml:space="preserve"> bioethische Positionen und die Murdoch Gruppe referierte über Murdochs Analysen der Verbindung zwischen Literatur und Philosophie. </w:t>
      </w:r>
    </w:p>
    <w:p w14:paraId="0811A85C" w14:textId="4012BE55" w:rsidR="00964FB0" w:rsidRPr="00964FB0" w:rsidRDefault="00964FB0" w:rsidP="00964FB0">
      <w:pPr>
        <w:rPr>
          <w:rFonts w:asciiTheme="majorHAnsi" w:hAnsiTheme="majorHAnsi" w:cstheme="majorHAnsi"/>
          <w:sz w:val="18"/>
          <w:szCs w:val="18"/>
        </w:rPr>
      </w:pPr>
      <w:r>
        <w:rPr>
          <w:rFonts w:asciiTheme="majorHAnsi" w:hAnsiTheme="majorHAnsi" w:cstheme="majorHAnsi"/>
          <w:sz w:val="18"/>
          <w:szCs w:val="18"/>
        </w:rPr>
        <w:t xml:space="preserve">Sehr gern könnt Ihr/können Sie mich kontaktieren, wenn Beratung und weitere Erfahrungsberichte hilfreich wären: eva-maria.dueringer@uni-tuebingen.de </w:t>
      </w:r>
    </w:p>
    <w:sectPr w:rsidR="00964FB0" w:rsidRPr="00964FB0" w:rsidSect="00964FB0">
      <w:headerReference w:type="even" r:id="rId4"/>
      <w:headerReference w:type="default" r:id="rId5"/>
      <w:footerReference w:type="even" r:id="rId6"/>
      <w:footerReference w:type="default" r:id="rId7"/>
      <w:headerReference w:type="first" r:id="rId8"/>
      <w:footerReference w:type="first" r:id="rId9"/>
      <w:pgSz w:w="11900" w:h="16840"/>
      <w:pgMar w:top="1134" w:right="964" w:bottom="1134" w:left="1134" w:header="709"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7F764" w14:textId="77777777" w:rsidR="00964FB0" w:rsidRDefault="00964FB0">
    <w:pPr>
      <w:pStyle w:val="Kopf-undFusszeilen"/>
      <w:tabs>
        <w:tab w:val="left" w:pos="9921"/>
        <w:tab w:val="left" w:pos="10630"/>
      </w:tabs>
      <w:rPr>
        <w:rFonts w:ascii="Times New Roman" w:eastAsia="Times New Roman" w:hAnsi="Times New Roman"/>
        <w:color w:val="auto"/>
        <w:lang w:val="de-DE" w:eastAsia="de-DE"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E3905" w14:textId="77777777" w:rsidR="00964FB0" w:rsidRDefault="00964FB0">
    <w:pPr>
      <w:pStyle w:val="Kopf-undFusszeilen"/>
      <w:tabs>
        <w:tab w:val="left" w:pos="9921"/>
        <w:tab w:val="left" w:pos="10630"/>
      </w:tabs>
      <w:rPr>
        <w:rFonts w:ascii="Times New Roman" w:eastAsia="Times New Roman" w:hAnsi="Times New Roman"/>
        <w:color w:val="auto"/>
        <w:lang w:val="de-DE" w:eastAsia="de-DE"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A124" w14:textId="77777777" w:rsidR="00964FB0" w:rsidRDefault="00964FB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CC396" w14:textId="77777777" w:rsidR="00964FB0" w:rsidRDefault="00964FB0">
    <w:pPr>
      <w:pStyle w:val="Kopf-undFusszeilen"/>
      <w:tabs>
        <w:tab w:val="left" w:pos="9921"/>
        <w:tab w:val="left" w:pos="10630"/>
      </w:tabs>
      <w:rPr>
        <w:rFonts w:ascii="Times New Roman" w:eastAsia="Times New Roman" w:hAnsi="Times New Roman"/>
        <w:color w:val="auto"/>
        <w:lang w:val="de-DE" w:eastAsia="de-DE"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30A8" w14:textId="77777777" w:rsidR="00964FB0" w:rsidRDefault="00964FB0">
    <w:pPr>
      <w:pStyle w:val="Kopf-undFusszeilen"/>
      <w:tabs>
        <w:tab w:val="left" w:pos="9921"/>
        <w:tab w:val="left" w:pos="10630"/>
      </w:tabs>
      <w:rPr>
        <w:rFonts w:ascii="Times New Roman" w:eastAsia="Times New Roman" w:hAnsi="Times New Roman"/>
        <w:color w:val="auto"/>
        <w:lang w:val="de-DE" w:eastAsia="de-DE"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2A1E" w14:textId="77777777" w:rsidR="00964FB0" w:rsidRDefault="00964F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B0"/>
    <w:rsid w:val="00964FB0"/>
    <w:rsid w:val="00D71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AEAB"/>
  <w15:chartTrackingRefBased/>
  <w15:docId w15:val="{F69607B6-436A-45F7-B66A-0FF5C475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4F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964F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964FB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64FB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64FB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64F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4F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4F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4F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4FB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64FB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64FB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64FB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64FB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64F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64F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64F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64FB0"/>
    <w:rPr>
      <w:rFonts w:eastAsiaTheme="majorEastAsia" w:cstheme="majorBidi"/>
      <w:color w:val="272727" w:themeColor="text1" w:themeTint="D8"/>
    </w:rPr>
  </w:style>
  <w:style w:type="paragraph" w:styleId="Titel">
    <w:name w:val="Title"/>
    <w:basedOn w:val="Standard"/>
    <w:next w:val="Standard"/>
    <w:link w:val="TitelZchn"/>
    <w:uiPriority w:val="10"/>
    <w:qFormat/>
    <w:rsid w:val="00964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4F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64F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4F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64F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64FB0"/>
    <w:rPr>
      <w:i/>
      <w:iCs/>
      <w:color w:val="404040" w:themeColor="text1" w:themeTint="BF"/>
    </w:rPr>
  </w:style>
  <w:style w:type="paragraph" w:styleId="Listenabsatz">
    <w:name w:val="List Paragraph"/>
    <w:basedOn w:val="Standard"/>
    <w:uiPriority w:val="34"/>
    <w:qFormat/>
    <w:rsid w:val="00964FB0"/>
    <w:pPr>
      <w:ind w:left="720"/>
      <w:contextualSpacing/>
    </w:pPr>
  </w:style>
  <w:style w:type="character" w:styleId="IntensiveHervorhebung">
    <w:name w:val="Intense Emphasis"/>
    <w:basedOn w:val="Absatz-Standardschriftart"/>
    <w:uiPriority w:val="21"/>
    <w:qFormat/>
    <w:rsid w:val="00964FB0"/>
    <w:rPr>
      <w:i/>
      <w:iCs/>
      <w:color w:val="2F5496" w:themeColor="accent1" w:themeShade="BF"/>
    </w:rPr>
  </w:style>
  <w:style w:type="paragraph" w:styleId="IntensivesZitat">
    <w:name w:val="Intense Quote"/>
    <w:basedOn w:val="Standard"/>
    <w:next w:val="Standard"/>
    <w:link w:val="IntensivesZitatZchn"/>
    <w:uiPriority w:val="30"/>
    <w:qFormat/>
    <w:rsid w:val="00964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64FB0"/>
    <w:rPr>
      <w:i/>
      <w:iCs/>
      <w:color w:val="2F5496" w:themeColor="accent1" w:themeShade="BF"/>
    </w:rPr>
  </w:style>
  <w:style w:type="character" w:styleId="IntensiverVerweis">
    <w:name w:val="Intense Reference"/>
    <w:basedOn w:val="Absatz-Standardschriftart"/>
    <w:uiPriority w:val="32"/>
    <w:qFormat/>
    <w:rsid w:val="00964FB0"/>
    <w:rPr>
      <w:b/>
      <w:bCs/>
      <w:smallCaps/>
      <w:color w:val="2F5496" w:themeColor="accent1" w:themeShade="BF"/>
      <w:spacing w:val="5"/>
    </w:rPr>
  </w:style>
  <w:style w:type="paragraph" w:customStyle="1" w:styleId="Kopf-undFusszeilen">
    <w:name w:val="Kopf- und Fusszeilen"/>
    <w:rsid w:val="00964FB0"/>
    <w:pPr>
      <w:tabs>
        <w:tab w:val="right" w:pos="9632"/>
      </w:tabs>
      <w:spacing w:after="0" w:line="240" w:lineRule="auto"/>
    </w:pPr>
    <w:rPr>
      <w:rFonts w:ascii="Helvetica" w:eastAsia="ヒラギノ角ゴ Pro W3" w:hAnsi="Helvetica" w:cs="Times New Roman"/>
      <w:color w:val="000000"/>
      <w:sz w:val="20"/>
      <w:szCs w:val="20"/>
      <w:lang w:eastAsia="de-DE"/>
    </w:rPr>
  </w:style>
  <w:style w:type="paragraph" w:customStyle="1" w:styleId="Text">
    <w:name w:val="Text"/>
    <w:rsid w:val="00964FB0"/>
    <w:pPr>
      <w:spacing w:after="0" w:line="240" w:lineRule="auto"/>
    </w:pPr>
    <w:rPr>
      <w:rFonts w:ascii="Helvetica" w:eastAsia="ヒラギノ角ゴ Pro W3" w:hAnsi="Helvetica" w:cs="Times New Roman"/>
      <w:color w:val="000000"/>
      <w:sz w:val="24"/>
      <w:szCs w:val="20"/>
      <w:lang w:eastAsia="de-DE"/>
    </w:rPr>
  </w:style>
  <w:style w:type="paragraph" w:customStyle="1" w:styleId="FreieForm">
    <w:name w:val="Freie Form"/>
    <w:rsid w:val="00964FB0"/>
    <w:pPr>
      <w:spacing w:after="0" w:line="240" w:lineRule="auto"/>
    </w:pPr>
    <w:rPr>
      <w:rFonts w:ascii="Helvetica" w:eastAsia="ヒラギノ角ゴ Pro W3" w:hAnsi="Helvetica" w:cs="Times New Roman"/>
      <w:color w:val="00000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2941</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Eva-Maria Düringer</dc:creator>
  <cp:keywords/>
  <dc:description/>
  <cp:lastModifiedBy>Eva-Maria Düringer</cp:lastModifiedBy>
  <cp:revision>1</cp:revision>
  <dcterms:created xsi:type="dcterms:W3CDTF">2024-04-26T07:06:00Z</dcterms:created>
  <dcterms:modified xsi:type="dcterms:W3CDTF">2024-04-26T07:25:00Z</dcterms:modified>
</cp:coreProperties>
</file>